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4C6583A">
      <w:pPr>
        <w:pStyle w:val="style0"/>
        <w:ind w:firstLine="343" w:firstLineChars="0"/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荆州博物馆观众预警分流应急预案</w:t>
      </w:r>
    </w:p>
    <w:p w14:paraId="405588B4">
      <w:pPr>
        <w:pStyle w:val="style0"/>
        <w:ind w:firstLine="343" w:firstLineChars="0"/>
        <w:rPr>
          <w:rFonts w:hint="eastAsia"/>
        </w:rPr>
      </w:pPr>
    </w:p>
    <w:p w14:paraId="53E720D6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一、总则</w:t>
      </w:r>
    </w:p>
    <w:p w14:paraId="100030BD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（一）编制目的</w:t>
      </w:r>
    </w:p>
    <w:p w14:paraId="36F2E83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为严格遵循国家</w:t>
      </w:r>
      <w:r>
        <w:rPr>
          <w:rFonts w:hint="eastAsia"/>
          <w:sz w:val="24"/>
          <w:szCs w:val="32"/>
          <w:lang w:val="en-US" w:eastAsia="zh-CN"/>
        </w:rPr>
        <w:t>4</w:t>
      </w:r>
      <w:r>
        <w:rPr>
          <w:rFonts w:hint="eastAsia"/>
          <w:sz w:val="24"/>
          <w:szCs w:val="32"/>
        </w:rPr>
        <w:t>A级旅游景区建设标准，科学管控馆内观众流量，建立健全观众拥堵预警与分流处置机制，最大限度降低人员密集带来的安全风险，保障文物安全与观众参观体验，确保博物馆运营秩序平稳有序，特制定本预案。</w:t>
      </w:r>
    </w:p>
    <w:p w14:paraId="45AB4931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（二）编制依据</w:t>
      </w:r>
    </w:p>
    <w:p w14:paraId="35FB7CD9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依据《旅游法》《文物保护法》《博物馆条例》《旅游景区质量等级的划分与评定》（GB/T 3095-2013）、《景区最大承载量核定导则》等相关法律法规及标准规范，结合荆州博物馆实际运营情况编制。</w:t>
      </w:r>
    </w:p>
    <w:p w14:paraId="093F1D15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（三）适用范围</w:t>
      </w:r>
    </w:p>
    <w:p w14:paraId="406D02AC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本预案适用于荆州博物馆馆区范围内，因节假日、大型展览、社会热点事件等各类因素导致观众流量超出常规承载能力，出现拥堵、排队过长等情况时的预警、响应、分流及后续处置工作。</w:t>
      </w:r>
    </w:p>
    <w:p w14:paraId="436BF5FD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（四）工作原则</w:t>
      </w:r>
    </w:p>
    <w:p w14:paraId="5D741432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1.</w:t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预防为主，主动管控：建立常态化流量监测机制，提前研判客流高峰，通过预约、公告等手段引导客流，实现早发现、早预警、早处置。</w:t>
      </w:r>
    </w:p>
    <w:p w14:paraId="0094802D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分级响应，精准施策：按观众流量阈值划分预警等级，对应制定差异化处置措施，确保响应及时、分流高效、管控精准。</w:t>
      </w:r>
    </w:p>
    <w:p w14:paraId="22903753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3.</w:t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安全优先，体验兼顾：始终将文物安全和人员安全置于首位，在保障安全的前提下，最大限度降低对观众参观体验的影响。</w:t>
      </w:r>
    </w:p>
    <w:p w14:paraId="7F102B89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4.</w:t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协同联动，快速处置：明确馆内各部门职责，加强与公安、文旅等监管单位联动，形成统一指挥、分工明确、协作高效的处置体系。</w:t>
      </w:r>
    </w:p>
    <w:p w14:paraId="4E179271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二、组织体系与职责</w:t>
      </w:r>
    </w:p>
    <w:p w14:paraId="0388CF77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（一）应急指挥部</w:t>
      </w:r>
    </w:p>
    <w:p w14:paraId="0C51C0FD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成立由馆长任总指挥，分管安全、运营的馆领导任副总指挥，安保部、办公室（后勤）、保管部、陈列部、宣教部等部门负责人为成员的应急指挥部。</w:t>
      </w:r>
    </w:p>
    <w:p w14:paraId="4F7B97D4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总指挥：负责预案启动、终止的决策，统筹协调重大应急处置工作，对接外部应急力量。</w:t>
      </w:r>
    </w:p>
    <w:p w14:paraId="1846D411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副总指挥：协助总指挥开展工作，负责分管领域应急措施的落实与督导。</w:t>
      </w:r>
    </w:p>
    <w:p w14:paraId="1C7AA179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成员：按部门职责执行具体应急任务，及时向指挥部汇报现场情况。</w:t>
      </w:r>
    </w:p>
    <w:p w14:paraId="68B1679F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（二）各部门职责</w:t>
      </w:r>
    </w:p>
    <w:p w14:paraId="2BE0B63E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1.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保卫科：负责馆内客流实时监测、预警信息发布；牵头现场秩序维护、人员疏导与分流；处置突发安全事件；联动公安等外部力量。</w:t>
      </w:r>
    </w:p>
    <w:p w14:paraId="745AA25D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1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left="420" w:leftChars="0" w:firstLine="0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办公室：负责线上线下预约系统管理、票务发售控制；统计分析客流数据，提供预警研判依据；管理出入口及展厅引导标识。</w:t>
      </w:r>
    </w:p>
    <w:p w14:paraId="2E3DE64A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1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left="420" w:leftChars="0" w:firstLine="0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宣教部：负责通过官方平台发布客流预警、分流建议及闭馆提示；开展现场咨询引导，向观众解释分流措施。</w:t>
      </w:r>
    </w:p>
    <w:p w14:paraId="7A520BA2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1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left="420" w:leftChars="0" w:firstLine="0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办公室（后勤）：负责应急物资调配、后勤保障；做好信息汇总、上报及对外沟通工作。</w:t>
      </w:r>
    </w:p>
    <w:p w14:paraId="7DBBBFA9">
      <w:pPr>
        <w:pStyle w:val="style0"/>
        <w:keepNext w:val="false"/>
        <w:keepLines w:val="false"/>
        <w:pageBreakBefore w:val="false"/>
        <w:widowControl w:val="false"/>
        <w:numPr>
          <w:ilvl w:val="0"/>
          <w:numId w:val="1"/>
        </w:numPr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left="420" w:leftChars="0" w:firstLine="0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陈列部：负责密切监控展厅文物状态，根据客流情况采取针对性文物保护措施。</w:t>
      </w:r>
    </w:p>
    <w:p w14:paraId="2ADE2421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三、观众承载量核定</w:t>
      </w:r>
    </w:p>
    <w:p w14:paraId="4FF7AFBC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结合荆州博物馆展厅面积、疏散通道宽度、文物保护要求及</w:t>
      </w:r>
      <w:r>
        <w:rPr>
          <w:rFonts w:hint="eastAsia"/>
          <w:sz w:val="24"/>
          <w:szCs w:val="32"/>
          <w:lang w:val="en-US" w:eastAsia="zh-CN"/>
        </w:rPr>
        <w:t>4</w:t>
      </w:r>
      <w:r>
        <w:rPr>
          <w:rFonts w:hint="eastAsia"/>
          <w:sz w:val="24"/>
          <w:szCs w:val="32"/>
        </w:rPr>
        <w:t>A景区服务标准，经科学测算：</w:t>
      </w:r>
    </w:p>
    <w:p w14:paraId="27338774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瞬时最大承载量：</w:t>
      </w:r>
      <w:r>
        <w:rPr>
          <w:rFonts w:hint="eastAsia"/>
          <w:sz w:val="24"/>
          <w:szCs w:val="32"/>
          <w:lang w:val="en-US" w:eastAsia="zh-CN"/>
        </w:rPr>
        <w:t>12</w:t>
      </w:r>
      <w:r>
        <w:rPr>
          <w:rFonts w:hint="eastAsia"/>
          <w:sz w:val="24"/>
          <w:szCs w:val="32"/>
        </w:rPr>
        <w:t>00人（单时点馆内同时在场观众上限）。</w:t>
      </w:r>
    </w:p>
    <w:p w14:paraId="557DDADB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日最大承载量：</w:t>
      </w:r>
      <w:r>
        <w:rPr>
          <w:rFonts w:hint="eastAsia"/>
          <w:sz w:val="24"/>
          <w:szCs w:val="32"/>
          <w:lang w:val="en-US" w:eastAsia="zh-CN"/>
        </w:rPr>
        <w:t>16</w:t>
      </w:r>
      <w:r>
        <w:rPr>
          <w:rFonts w:hint="eastAsia"/>
          <w:sz w:val="24"/>
          <w:szCs w:val="32"/>
        </w:rPr>
        <w:t>000人（单日接待观众总量上限）。</w:t>
      </w:r>
    </w:p>
    <w:p w14:paraId="4B712B97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四、预警等级划分</w:t>
      </w:r>
    </w:p>
    <w:p w14:paraId="0B1AADB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（一）蓝色预警（三级）</w:t>
      </w:r>
    </w:p>
    <w:p w14:paraId="42FC6EBD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触发条件：瞬时客流达到瞬时最大承载量的70%，或日客流达到日最大承载量的60%。</w:t>
      </w:r>
    </w:p>
    <w:p w14:paraId="0EB3E0FE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预警标识：馆内电子屏显示蓝色预警提示，发布客流基本信息。</w:t>
      </w:r>
    </w:p>
    <w:p w14:paraId="306F667A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（二）黄色预警（二级）</w:t>
      </w:r>
    </w:p>
    <w:p w14:paraId="022974CC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触发条件：瞬时客流达到瞬时最大承载量的85%，或日客流达到日最大承载量的80%。</w:t>
      </w:r>
    </w:p>
    <w:p w14:paraId="32C04CA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预警标识：馆内电子屏显示黄色预警提示，滚动播报客流数据及排队预估时间。</w:t>
      </w:r>
    </w:p>
    <w:p w14:paraId="21BADA5E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（三）红色预警（一级）</w:t>
      </w:r>
    </w:p>
    <w:p w14:paraId="44935C33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触发条件：瞬时客流达到或超出瞬时最大承载量，或日客流达到或超出日最大承载量。</w:t>
      </w:r>
    </w:p>
    <w:p w14:paraId="13AB3FE7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预警标识：馆内电子屏显示红色预警提示，启动限流、停售措施公告。</w:t>
      </w:r>
    </w:p>
    <w:p w14:paraId="63CBD680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五、预警与响应流程</w:t>
      </w:r>
    </w:p>
    <w:p w14:paraId="6DD71EEB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（一）监测与预警发布</w:t>
      </w:r>
    </w:p>
    <w:p w14:paraId="1F119E40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1.</w:t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馆办公室通过预约系统、票务系统实时统计日客流数据，保卫科通过出入口闸机、视频监控系统实时监测瞬时客流数据，每15分钟汇总一次并上报应急指挥部。</w:t>
      </w:r>
    </w:p>
    <w:p w14:paraId="74D3D02D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达到对应预警等级触发条件时，应急指挥部立即下达预警指令，宣教部通过馆内电子屏、官方微信公众号、微博等渠道发布预警信息。</w:t>
      </w:r>
    </w:p>
    <w:p w14:paraId="4F04DEF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（二）分级响应措施</w:t>
      </w:r>
    </w:p>
    <w:p w14:paraId="76BA9A99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1.</w:t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蓝色预警响应</w:t>
      </w:r>
    </w:p>
    <w:p w14:paraId="3DFF5214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办公室：增加票务窗口及预约核销通道工作人员，加快通行效率。</w:t>
      </w:r>
    </w:p>
    <w:p w14:paraId="57B61EB2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宣教部：在展厅、通道关键位置增派讲解员及引导员，提醒观众有序参观。</w:t>
      </w:r>
    </w:p>
    <w:p w14:paraId="6E73347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保卫科：加强馆内巡查频次，重点关注出入口、热门展厅等区域秩序。</w:t>
      </w:r>
    </w:p>
    <w:p w14:paraId="5DB0D4E4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黄色预警响应</w:t>
      </w:r>
    </w:p>
    <w:p w14:paraId="6EF65260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办公室：限制线下窗口售票数量，优先保障预约观众入场；在出入口设置蛇形排队通道。</w:t>
      </w:r>
    </w:p>
    <w:p w14:paraId="41502611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宣教部：通过广播循环提示客流情况，引导观众错峰参观冷门展厅，提供周边景点推荐。</w:t>
      </w:r>
    </w:p>
    <w:p w14:paraId="295707C3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保卫科：增派安保人员至热门展厅入口实行“一进一出”管控，避免展厅内过度拥挤。</w:t>
      </w:r>
    </w:p>
    <w:p w14:paraId="44E61E24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办公室（后勤）：做好应急物资（如水、遮阳棚等）前置准备。</w:t>
      </w:r>
    </w:p>
    <w:p w14:paraId="7038CE32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3.</w:t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红色预警响应</w:t>
      </w:r>
    </w:p>
    <w:p w14:paraId="0A681E40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办公室：立即暂停线上线下售票及预约通道，关闭部分出入口，仅保留应急及出口通道。</w:t>
      </w:r>
    </w:p>
    <w:p w14:paraId="62AA4FD7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宣教部：向已购票未入场观众说明情况，引导办理退票或预约改期；通过官方平台发布停售、限流公告。</w:t>
      </w:r>
    </w:p>
    <w:p w14:paraId="23F5DC81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保卫科：在馆外设置临时等候区，实行“出一进一”限流措施；加强馆内巡查，对拥挤区域强制疏导，必要时临时关闭部分展厅。</w:t>
      </w:r>
    </w:p>
    <w:p w14:paraId="6284904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应急指挥部：协调公安部门到场协助维持秩序，根据情况决定是否启动闭馆预案。</w:t>
      </w:r>
    </w:p>
    <w:p w14:paraId="7462FAB9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六、分流与疏导策略</w:t>
      </w:r>
    </w:p>
    <w:p w14:paraId="7E90130F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（一）空间分流</w:t>
      </w:r>
    </w:p>
    <w:p w14:paraId="3E007C40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1.</w:t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热门展厅（如陈列楼、珍品馆展厅）实行入口限流、分批进入，在出口设置引导标识，分流至相邻冷门展厅。</w:t>
      </w:r>
    </w:p>
    <w:p w14:paraId="1394941F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开放馆内临时休息区、文创区等空间，疏散展厅内密集人流，避免通道堵塞。</w:t>
      </w:r>
    </w:p>
    <w:p w14:paraId="607E9B27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（二）时间分流</w:t>
      </w:r>
    </w:p>
    <w:p w14:paraId="052C7036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1.</w:t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对未入场的预警时段购票观众，引导其选择当日非高峰时段（如午后、闭馆前1小时）入场，或办理改期手续。</w:t>
      </w:r>
    </w:p>
    <w:p w14:paraId="12B7E1FA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通过官方平台提前发布未来3天客流预测，引导游客错峰参观，避开周末及节假日高峰。</w:t>
      </w:r>
    </w:p>
    <w:p w14:paraId="5AE047F0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（三）外部分流</w:t>
      </w:r>
    </w:p>
    <w:p w14:paraId="7472509A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1.</w:t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红色预警时，联动周边景区（如荆州古城墙、张居正故居等），为未入场观众提供联票优惠或参观指引，实现区域客流分流。</w:t>
      </w:r>
    </w:p>
    <w:p w14:paraId="48819EFB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协调本地文旅部门及旅游平台，向外地游客推送分流建议及替代游览方案。</w:t>
      </w:r>
    </w:p>
    <w:p w14:paraId="6DC94B64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七、应急保障</w:t>
      </w:r>
    </w:p>
    <w:p w14:paraId="021431D7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（一）人员保障</w:t>
      </w:r>
    </w:p>
    <w:p w14:paraId="520A238C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组建由保卫科、办公室（后勤）、宣教等部门骨干组成的应急突击队，定期开展客流疏导、应急处置等专项培训及演练，确保应急时快速到位。</w:t>
      </w:r>
    </w:p>
    <w:p w14:paraId="664B3224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（二）设施保障</w:t>
      </w:r>
    </w:p>
    <w:p w14:paraId="70A22315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确保视频监控、出入口闸机、电子屏、广播系统等设备24小时正常运行，定期检修维护；在出入口、通道等关键位置配备充足的引导标识、隔离护栏、临时休息设施等。</w:t>
      </w:r>
    </w:p>
    <w:p w14:paraId="06959432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（三）物资保障</w:t>
      </w:r>
    </w:p>
    <w:p w14:paraId="6ADC7886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办公室储备足够的饮用水、遮阳棚、急救药品、扩音器、隔离带等应急物资，建立台账并定期更新，确保物资处于有效可用状态。</w:t>
      </w:r>
    </w:p>
    <w:p w14:paraId="17E6B8E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（四）通信保障</w:t>
      </w:r>
    </w:p>
    <w:p w14:paraId="3372A7F7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确保应急指挥部与各部门、外部联动单位之间通信畅通，配备专用对讲机、备用手机等通信设备，明确联络人及联络方式。</w:t>
      </w:r>
    </w:p>
    <w:p w14:paraId="12A7A8E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八、后期处置</w:t>
      </w:r>
      <w:bookmarkStart w:id="0" w:name="_GoBack"/>
      <w:bookmarkEnd w:id="0"/>
    </w:p>
    <w:p w14:paraId="25F0E982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（一）预警终止</w:t>
      </w:r>
    </w:p>
    <w:p w14:paraId="4477F956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当瞬时客流降至瞬时最大承载量的70%以下且持续稳定1小时，或当日闭馆后，由应急指挥部宣布预警终止，各部门恢复常规运营。</w:t>
      </w:r>
    </w:p>
    <w:p w14:paraId="0F339E93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（二）总结评估</w:t>
      </w:r>
    </w:p>
    <w:p w14:paraId="720BD6C9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每次应急处置结束后3个工作日内，应急指挥部组织各部门召开复盘会议，分析预警响应、分流处置过程中的问题与不足，提出改进措施，完善预案。</w:t>
      </w:r>
    </w:p>
    <w:p w14:paraId="1F816BB2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（三）信息公开</w:t>
      </w:r>
    </w:p>
    <w:p w14:paraId="731FE67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通过官方平台向社会公开本次客流高峰处置情况，回应公众关切，提升博物馆运营透明度。</w:t>
      </w:r>
    </w:p>
    <w:p w14:paraId="66CFDD51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九、附则</w:t>
      </w:r>
    </w:p>
    <w:p w14:paraId="3F989B84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1.</w:t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本预案由荆州博物馆应急指挥部负责解释。</w:t>
      </w:r>
    </w:p>
    <w:p w14:paraId="348049AD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2.</w:t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本预案自发布之日起施行，博物馆每年度根据实际运营情况及相关标准变化进行修订。</w:t>
      </w:r>
    </w:p>
    <w:p w14:paraId="5549C503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540"/>
        <w:ind w:firstLine="343" w:firstLineChars="0"/>
        <w:textAlignment w:val="auto"/>
        <w:rPr>
          <w:sz w:val="24"/>
          <w:szCs w:val="32"/>
        </w:rPr>
      </w:pP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3.</w:t>
      </w:r>
      <w:r>
        <w:rPr>
          <w:rFonts w:hint="eastAsia"/>
          <w:sz w:val="24"/>
          <w:szCs w:val="32"/>
        </w:rPr>
        <w:tab/>
      </w:r>
      <w:r>
        <w:rPr>
          <w:rFonts w:hint="eastAsia"/>
          <w:sz w:val="24"/>
          <w:szCs w:val="32"/>
        </w:rPr>
        <w:t>各部门需严格落实本预案职责，对因失职渎职导致事故的，依法依规追究责任。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5B00A76C"/>
    <w:lvl w:ilvl="0">
      <w:start w:val="2"/>
      <w:numFmt w:val="decimal"/>
      <w:suff w:val="space"/>
      <w:lvlText w:val="%1."/>
      <w:lvlJc w:val="left"/>
      <w:pPr>
        <w:ind w:left="42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2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Words>2773</Words>
  <Pages>6</Pages>
  <Characters>2824</Characters>
  <Application>WPS Office</Application>
  <DocSecurity>0</DocSecurity>
  <Paragraphs>89</Paragraphs>
  <ScaleCrop>false</ScaleCrop>
  <LinksUpToDate>false</LinksUpToDate>
  <CharactersWithSpaces>2884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2025-09-20T06:35:00Z</dcterms:created>
  <dc:creator>Administrator</dc:creator>
  <lastModifiedBy>Mi 10</lastModifiedBy>
  <dcterms:modified xsi:type="dcterms:W3CDTF">2025-09-24T02:31:48Z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eyJoZGlkIjoiNThiNjFiN2UzNmJlNjY4NmVkM2UwNDlmNjc1ZTYwNTgiLCJ1c2VySWQiOiIyNTU1Njg3MTkifQ==</vt:lpwstr>
  </property>
  <property fmtid="{D5CDD505-2E9C-101B-9397-08002B2CF9AE}" pid="4" name="ICV">
    <vt:lpwstr>9d73179ef7294eab99efeceb210ac3dd_23</vt:lpwstr>
  </property>
</Properties>
</file>