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center"/>
        <w:textAlignment w:val="auto"/>
        <w:outlineLvl w:val="1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center"/>
        <w:textAlignment w:val="auto"/>
        <w:outlineLvl w:val="1"/>
        <w:rPr>
          <w:rFonts w:hint="eastAsia" w:ascii="仿宋" w:hAnsi="仿宋" w:eastAsia="仿宋" w:cs="仿宋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三、竞价承诺书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right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采购人/采购代理机构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我方（供应商名称）符合《中华人民共和国政府采购法》第二十二条第一款第（二）项、第（三）项、第（四）项、第（五）项规定条件，具体包括：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1.具有良好的商业信誉和健全的财务会计制度；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2.具有履行合同所必需的设备和专业技术能力；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3.具有依法缴纳税收和社会保障资金的良好记录；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4.参加政府采购活动前三年内，在经营活动中没有重大违法记录。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（1）我方未因违法经营被追究过刑事责任；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（2）我方未因违法经营被责令停产停业、吊销许可证或者执照；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（3）我方未因违法经营被处以较大数额罚款等行政处罚。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5.法律、行政法规规定的其他条件。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特此承诺。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供应商名称（公章）：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法定代表人或授权代表人（签字）：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0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 xml:space="preserve"> 月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F3F32"/>
    <w:rsid w:val="307F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2026-04-08T08:49:00Z</dcterms:created>
  <dc:creator>Administrator</dc:creator>
  <cp:lastModifiedBy>Administrator</cp:lastModifiedBy>
  <dcterms:modified xsi:type="dcterms:W3CDTF">2026-04-08T08:49:48Z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56E9EA33382A4C3C9DDC785B157F9314</vt:lpwstr>
  </property>
</Properties>
</file>